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03" w:rsidRPr="000464B0" w:rsidRDefault="005F5803" w:rsidP="005F5803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</w:t>
      </w:r>
      <w:r w:rsidRPr="00272C78">
        <w:rPr>
          <w:b/>
          <w:sz w:val="28"/>
          <w:szCs w:val="28"/>
        </w:rPr>
        <w:t xml:space="preserve"> АККРЕДИТОВАННЫХ СЕРТИФИКАЦИЙ</w:t>
      </w:r>
    </w:p>
    <w:p w:rsidR="005F5803" w:rsidRPr="00B3479B" w:rsidRDefault="005F5803" w:rsidP="005F5803">
      <w:pPr>
        <w:pStyle w:val="a3"/>
        <w:ind w:left="142"/>
        <w:rPr>
          <w:b/>
          <w:sz w:val="28"/>
          <w:szCs w:val="28"/>
        </w:rPr>
      </w:pPr>
    </w:p>
    <w:p w:rsidR="005F5803" w:rsidRPr="0088785D" w:rsidRDefault="005F5803" w:rsidP="00C23A20">
      <w:pPr>
        <w:pStyle w:val="a6"/>
        <w:spacing w:before="0"/>
        <w:ind w:right="-903" w:firstLine="284"/>
        <w:jc w:val="both"/>
        <w:rPr>
          <w:rFonts w:ascii="Times New Roman" w:hAnsi="Times New Roman"/>
          <w:b w:val="0"/>
          <w:szCs w:val="28"/>
          <w:lang w:val="ru-RU"/>
        </w:rPr>
      </w:pPr>
      <w:r w:rsidRPr="0088785D">
        <w:rPr>
          <w:rFonts w:ascii="Times New Roman" w:hAnsi="Times New Roman"/>
          <w:b w:val="0"/>
          <w:szCs w:val="28"/>
          <w:lang w:val="ru-RU"/>
        </w:rPr>
        <w:t>Следующие данные / документы от заявителя должны быть предоставлены для запланированного перехода существующей сертификации:</w:t>
      </w:r>
    </w:p>
    <w:p w:rsidR="005F5803" w:rsidRPr="0088785D" w:rsidRDefault="005F5803" w:rsidP="005F5803">
      <w:pPr>
        <w:pStyle w:val="a6"/>
        <w:spacing w:before="0"/>
        <w:ind w:firstLine="284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266"/>
      </w:tblGrid>
      <w:tr w:rsidR="00D652F0" w:rsidRPr="0088785D" w:rsidTr="00D652F0">
        <w:trPr>
          <w:trHeight w:val="409"/>
        </w:trPr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Название клиента/заявителя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rPr>
          <w:trHeight w:val="526"/>
        </w:trPr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Сертификат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(ы)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действует до:</w:t>
            </w:r>
          </w:p>
        </w:tc>
      </w:tr>
      <w:tr w:rsidR="00D652F0" w:rsidRPr="0088785D" w:rsidTr="00D652F0"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Орган по аккредитации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название органа по аккредитации:</w:t>
            </w:r>
            <w:r>
              <w:rPr>
                <w:b/>
                <w:sz w:val="28"/>
                <w:szCs w:val="28"/>
              </w:rPr>
              <w:t xml:space="preserve"> ___________________________________________</w:t>
            </w:r>
          </w:p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 xml:space="preserve">член </w:t>
            </w:r>
            <w:r w:rsidRPr="0088785D">
              <w:rPr>
                <w:b/>
                <w:sz w:val="28"/>
                <w:szCs w:val="28"/>
                <w:lang w:val="en-US"/>
              </w:rPr>
              <w:t>MLA</w:t>
            </w:r>
            <w:r w:rsidRPr="0088785D">
              <w:rPr>
                <w:b/>
                <w:sz w:val="28"/>
                <w:szCs w:val="28"/>
              </w:rPr>
              <w:t xml:space="preserve">: </w:t>
            </w:r>
          </w:p>
          <w:p w:rsidR="005F5803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да</w:t>
            </w:r>
            <w:r w:rsidRPr="0088785D">
              <w:rPr>
                <w:b/>
                <w:sz w:val="28"/>
                <w:szCs w:val="28"/>
              </w:rPr>
              <w:t xml:space="preserve">      </w:t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нет, переход невозможен</w:t>
            </w:r>
          </w:p>
          <w:p w:rsidR="00C23A20" w:rsidRPr="0088785D" w:rsidRDefault="00C23A20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r w:rsidRPr="0088785D">
              <w:rPr>
                <w:b/>
                <w:sz w:val="28"/>
                <w:szCs w:val="28"/>
              </w:rPr>
              <w:t>тандарт</w:t>
            </w:r>
            <w:proofErr w:type="gramEnd"/>
            <w:r w:rsidRPr="0088785D">
              <w:rPr>
                <w:b/>
                <w:sz w:val="28"/>
                <w:szCs w:val="28"/>
              </w:rPr>
              <w:t xml:space="preserve"> по которому будет сертифицироваться: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803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7"/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bookmarkEnd w:id="0"/>
            <w:r w:rsidRPr="0088785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UAE</w:t>
            </w:r>
            <w:r w:rsidRPr="0088785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 GSO 2055-1:2015</w:t>
            </w:r>
          </w:p>
          <w:p w:rsidR="005F5803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8"/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bookmarkEnd w:id="1"/>
            <w:r w:rsidRPr="0088785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UAE</w:t>
            </w:r>
            <w:r w:rsidRPr="0088785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 2055-4:2014</w:t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23A20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0"/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bookmarkEnd w:id="2"/>
            <w:r w:rsidRPr="0088785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UAE</w:t>
            </w:r>
            <w:r w:rsidRPr="0088785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 GSO 993:</w:t>
            </w: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D652F0" w:rsidRPr="0088785D" w:rsidTr="00D652F0">
        <w:trPr>
          <w:trHeight w:val="524"/>
        </w:trPr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8785D">
              <w:rPr>
                <w:b/>
                <w:sz w:val="28"/>
                <w:szCs w:val="28"/>
              </w:rPr>
              <w:t xml:space="preserve">бласть распространения системы </w:t>
            </w:r>
            <w:proofErr w:type="spellStart"/>
            <w:r>
              <w:rPr>
                <w:b/>
                <w:sz w:val="28"/>
                <w:szCs w:val="28"/>
              </w:rPr>
              <w:t>Халяль</w:t>
            </w:r>
            <w:proofErr w:type="spellEnd"/>
            <w:r w:rsidRPr="0088785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rPr>
          <w:trHeight w:val="560"/>
        </w:trPr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8785D">
              <w:rPr>
                <w:b/>
                <w:sz w:val="28"/>
                <w:szCs w:val="28"/>
              </w:rPr>
              <w:t xml:space="preserve">оды IAF системы </w:t>
            </w:r>
            <w:proofErr w:type="spellStart"/>
            <w:r>
              <w:rPr>
                <w:b/>
                <w:sz w:val="28"/>
                <w:szCs w:val="28"/>
              </w:rPr>
              <w:t>Халяль</w:t>
            </w:r>
            <w:proofErr w:type="spellEnd"/>
            <w:r w:rsidRPr="0088785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shd w:val="clear" w:color="auto" w:fill="auto"/>
            <w:vAlign w:val="center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8785D">
              <w:rPr>
                <w:b/>
                <w:sz w:val="28"/>
                <w:szCs w:val="28"/>
              </w:rPr>
              <w:t xml:space="preserve">оды IAF </w:t>
            </w:r>
            <w:r w:rsidRPr="0088785D">
              <w:rPr>
                <w:b/>
                <w:sz w:val="28"/>
                <w:szCs w:val="28"/>
                <w:lang w:val="be-BY"/>
              </w:rPr>
              <w:t xml:space="preserve">системы </w:t>
            </w:r>
            <w:r>
              <w:rPr>
                <w:b/>
                <w:sz w:val="28"/>
                <w:szCs w:val="28"/>
                <w:lang w:val="be-BY"/>
              </w:rPr>
              <w:t>Халяль</w:t>
            </w:r>
            <w:r w:rsidRPr="0088785D">
              <w:rPr>
                <w:b/>
                <w:sz w:val="28"/>
                <w:szCs w:val="28"/>
                <w:lang w:val="be-BY"/>
              </w:rPr>
              <w:t xml:space="preserve"> охваченные аккредитацией органа по сертификации </w:t>
            </w: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БелХаляль</w:t>
            </w:r>
            <w:proofErr w:type="spellEnd"/>
            <w:r w:rsidRPr="0088785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 xml:space="preserve">да        </w:t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нет, переход невозможен</w:t>
            </w:r>
            <w:r w:rsidRPr="0088785D">
              <w:rPr>
                <w:b/>
                <w:sz w:val="28"/>
                <w:szCs w:val="28"/>
              </w:rPr>
              <w:t xml:space="preserve"> </w:t>
            </w:r>
          </w:p>
          <w:p w:rsidR="005F5803" w:rsidRPr="0088785D" w:rsidRDefault="005F5803" w:rsidP="00C23A20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shd w:val="clear" w:color="auto" w:fill="auto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Статус сертификации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сертификат приостановлен:</w:t>
            </w:r>
          </w:p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нет    </w:t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да,</w:t>
            </w:r>
            <w:r>
              <w:rPr>
                <w:b/>
                <w:sz w:val="28"/>
                <w:szCs w:val="28"/>
                <w:lang w:val="be-BY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переход невозможен</w:t>
            </w:r>
          </w:p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Сертификат находится под угрозой приостановления, например, из-за превышения сроков:</w:t>
            </w:r>
          </w:p>
          <w:p w:rsidR="005F5803" w:rsidRDefault="005F5803" w:rsidP="00C23A20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нет    </w:t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  <w:lang w:val="be-BY"/>
              </w:rPr>
              <w:t>да, переход невозможен</w:t>
            </w:r>
          </w:p>
          <w:p w:rsidR="00C23A20" w:rsidRPr="0088785D" w:rsidRDefault="00C23A20" w:rsidP="00C23A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shd w:val="clear" w:color="auto" w:fill="auto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8785D">
              <w:rPr>
                <w:b/>
                <w:sz w:val="28"/>
                <w:szCs w:val="28"/>
              </w:rPr>
              <w:t>анные о жалобах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 w:rsidRPr="0088785D">
              <w:rPr>
                <w:b/>
                <w:color w:val="FF0000"/>
                <w:sz w:val="28"/>
                <w:szCs w:val="28"/>
                <w:lang w:val="en-US"/>
              </w:rPr>
              <w:instrText>FORMCHECKBOX</w:instrText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A07E4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Клиент не предоставил никакой информации. Переход невозможен</w:t>
            </w:r>
            <w:r>
              <w:rPr>
                <w:b/>
                <w:sz w:val="28"/>
                <w:szCs w:val="28"/>
              </w:rPr>
              <w:t>.</w:t>
            </w:r>
          </w:p>
          <w:p w:rsidR="005F5803" w:rsidRPr="00A07E4A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</w:t>
            </w:r>
            <w:r w:rsidRPr="00A07E4A">
              <w:rPr>
                <w:b/>
                <w:sz w:val="28"/>
                <w:szCs w:val="28"/>
              </w:rPr>
              <w:t>Жалоб нет, переход возможен.</w:t>
            </w:r>
          </w:p>
          <w:p w:rsidR="005F5803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 w:rsidRPr="0088785D">
              <w:rPr>
                <w:b/>
                <w:color w:val="FF0000"/>
                <w:sz w:val="28"/>
                <w:szCs w:val="28"/>
                <w:lang w:val="en-US"/>
              </w:rPr>
              <w:instrText>FORMCHECKBOX</w:instrText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A07E4A"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Есть</w:t>
            </w:r>
            <w:r w:rsidRPr="00A07E4A"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жалобы</w:t>
            </w:r>
            <w:r w:rsidRPr="00A07E4A">
              <w:rPr>
                <w:b/>
                <w:sz w:val="28"/>
                <w:szCs w:val="28"/>
              </w:rPr>
              <w:t xml:space="preserve">. </w:t>
            </w:r>
            <w:r w:rsidRPr="0088785D">
              <w:rPr>
                <w:b/>
                <w:sz w:val="28"/>
                <w:szCs w:val="28"/>
              </w:rPr>
              <w:t>Эти и предпринятые действия должны быть проверены в ходе аудита.</w:t>
            </w:r>
          </w:p>
          <w:p w:rsidR="00C23A20" w:rsidRPr="0088785D" w:rsidRDefault="00C23A20" w:rsidP="00C23A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shd w:val="clear" w:color="auto" w:fill="auto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Определение текущего взаимодействия с регулирующими органами в отношении соблюден</w:t>
            </w:r>
            <w:r>
              <w:rPr>
                <w:b/>
                <w:sz w:val="28"/>
                <w:szCs w:val="28"/>
              </w:rPr>
              <w:t>ия законодательства</w:t>
            </w:r>
            <w:r w:rsidRPr="0088785D">
              <w:rPr>
                <w:b/>
                <w:sz w:val="28"/>
                <w:szCs w:val="28"/>
              </w:rPr>
              <w:t>*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*</w:t>
            </w:r>
            <w:r w:rsidRPr="0088785D">
              <w:rPr>
                <w:b/>
                <w:sz w:val="28"/>
                <w:szCs w:val="28"/>
              </w:rPr>
              <w:t>согласно действующим национальным нормативно-правовы</w:t>
            </w:r>
            <w:r>
              <w:rPr>
                <w:b/>
                <w:sz w:val="28"/>
                <w:szCs w:val="28"/>
              </w:rPr>
              <w:t>м</w:t>
            </w:r>
            <w:r w:rsidRPr="0088785D"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6266" w:type="dxa"/>
            <w:tcBorders>
              <w:bottom w:val="single" w:sz="6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color w:val="FF0000"/>
                <w:sz w:val="28"/>
                <w:szCs w:val="28"/>
              </w:rPr>
              <w:lastRenderedPageBreak/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 w:rsidRPr="0088785D">
              <w:rPr>
                <w:b/>
                <w:color w:val="FF0000"/>
                <w:sz w:val="28"/>
                <w:szCs w:val="28"/>
                <w:lang w:val="en-US"/>
              </w:rPr>
              <w:instrText>FORMCHECKBOX</w:instrText>
            </w:r>
            <w:r w:rsidRPr="00A07E4A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A07E4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 xml:space="preserve">Клиент не предоставил никакой информации. Переход невозможен. </w:t>
            </w:r>
          </w:p>
          <w:p w:rsidR="005F5803" w:rsidRPr="00A07E4A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</w:t>
            </w:r>
            <w:r w:rsidRPr="00A07E4A">
              <w:rPr>
                <w:b/>
                <w:sz w:val="28"/>
                <w:szCs w:val="28"/>
              </w:rPr>
              <w:t>Соглашений с органами власти нет. Переход возможен.</w:t>
            </w:r>
          </w:p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A07E4A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A07E4A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Существуют соглашения с органами власти. Они должны быть проверены в ходе аудита.</w:t>
            </w:r>
          </w:p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F5803" w:rsidRPr="0088785D" w:rsidRDefault="005F5803" w:rsidP="009A2FBC">
            <w:pPr>
              <w:pStyle w:val="2"/>
              <w:spacing w:after="0" w:line="24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Причины изменения органа по сертификации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A07E4A">
              <w:rPr>
                <w:b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A07E4A">
              <w:rPr>
                <w:b/>
                <w:sz w:val="28"/>
                <w:szCs w:val="28"/>
              </w:rPr>
              <w:fldChar w:fldCharType="end"/>
            </w:r>
            <w:r w:rsidRPr="00A07E4A"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 xml:space="preserve">Клиент не предоставил никакой информации. </w:t>
            </w:r>
            <w:r w:rsidRPr="0088785D">
              <w:rPr>
                <w:b/>
                <w:sz w:val="28"/>
                <w:szCs w:val="28"/>
              </w:rPr>
              <w:br/>
              <w:t>Примечание:</w:t>
            </w:r>
          </w:p>
          <w:p w:rsidR="005F5803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Да, см. бланк </w:t>
            </w:r>
            <w:r>
              <w:rPr>
                <w:b/>
                <w:sz w:val="28"/>
                <w:szCs w:val="28"/>
              </w:rPr>
              <w:t>заявки</w:t>
            </w:r>
            <w:r w:rsidRPr="0088785D">
              <w:rPr>
                <w:b/>
                <w:sz w:val="28"/>
                <w:szCs w:val="28"/>
              </w:rPr>
              <w:t xml:space="preserve"> или следующий документ: </w:t>
            </w:r>
          </w:p>
          <w:p w:rsidR="00C23A20" w:rsidRPr="0088785D" w:rsidRDefault="00C23A20" w:rsidP="00C23A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2F0" w:rsidRPr="0088785D" w:rsidTr="00D652F0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F5803" w:rsidRPr="0088785D" w:rsidRDefault="005F5803" w:rsidP="009A2FBC">
            <w:pPr>
              <w:pStyle w:val="2"/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A07E4A">
              <w:rPr>
                <w:b/>
                <w:sz w:val="28"/>
                <w:szCs w:val="28"/>
              </w:rPr>
              <w:t>Информация о наличии групповой сертификации: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5F5803" w:rsidRPr="0088785D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 xml:space="preserve">да             </w:t>
            </w: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нет</w:t>
            </w:r>
          </w:p>
          <w:p w:rsidR="005F5803" w:rsidRPr="00A07E4A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Все местоположения одинаковы.</w:t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07E4A">
              <w:rPr>
                <w:b/>
                <w:sz w:val="28"/>
                <w:szCs w:val="28"/>
              </w:rPr>
              <w:t>Переход возможен</w:t>
            </w:r>
          </w:p>
          <w:p w:rsidR="005F5803" w:rsidRDefault="005F5803" w:rsidP="00C23A20">
            <w:pPr>
              <w:jc w:val="both"/>
              <w:rPr>
                <w:b/>
                <w:sz w:val="28"/>
                <w:szCs w:val="28"/>
              </w:rPr>
            </w:pPr>
            <w:r w:rsidRPr="00A07E4A">
              <w:rPr>
                <w:b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A07E4A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07E4A">
              <w:rPr>
                <w:b/>
                <w:sz w:val="28"/>
                <w:szCs w:val="28"/>
              </w:rPr>
              <w:t>местоположения отличаются от предыдущих</w:t>
            </w:r>
            <w:r>
              <w:rPr>
                <w:b/>
                <w:sz w:val="28"/>
                <w:szCs w:val="28"/>
              </w:rPr>
              <w:t xml:space="preserve"> сертификатов, переход возможен</w:t>
            </w:r>
            <w:r w:rsidRPr="00A07E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A07E4A">
              <w:rPr>
                <w:b/>
                <w:sz w:val="28"/>
                <w:szCs w:val="28"/>
              </w:rPr>
              <w:t xml:space="preserve"> необходим аудит расширения</w:t>
            </w:r>
          </w:p>
          <w:p w:rsidR="00C23A20" w:rsidRPr="0088785D" w:rsidRDefault="00C23A20" w:rsidP="00C23A2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F5803" w:rsidRPr="0088785D" w:rsidRDefault="005F5803" w:rsidP="005F5803">
      <w:pPr>
        <w:jc w:val="both"/>
        <w:rPr>
          <w:sz w:val="28"/>
          <w:szCs w:val="28"/>
        </w:rPr>
      </w:pPr>
    </w:p>
    <w:tbl>
      <w:tblPr>
        <w:tblW w:w="10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142"/>
        <w:gridCol w:w="4377"/>
        <w:gridCol w:w="425"/>
        <w:gridCol w:w="4860"/>
        <w:gridCol w:w="416"/>
      </w:tblGrid>
      <w:tr w:rsidR="005F5803" w:rsidRPr="0088785D" w:rsidTr="00D652F0">
        <w:trPr>
          <w:gridAfter w:val="1"/>
          <w:wAfter w:w="416" w:type="dxa"/>
          <w:trHeight w:val="727"/>
        </w:trPr>
        <w:tc>
          <w:tcPr>
            <w:tcW w:w="10094" w:type="dxa"/>
            <w:gridSpan w:val="5"/>
            <w:shd w:val="clear" w:color="auto" w:fill="auto"/>
          </w:tcPr>
          <w:p w:rsidR="005F5803" w:rsidRPr="00A07E4A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88785D">
              <w:rPr>
                <w:b/>
                <w:sz w:val="28"/>
                <w:szCs w:val="28"/>
                <w:u w:val="single"/>
              </w:rPr>
              <w:t>Проверка отчетов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8785D">
              <w:rPr>
                <w:b/>
                <w:sz w:val="28"/>
                <w:szCs w:val="28"/>
                <w:u w:val="single"/>
              </w:rPr>
              <w:t xml:space="preserve">по аудиту предыдущего цикла </w:t>
            </w:r>
            <w:proofErr w:type="gramStart"/>
            <w:r w:rsidRPr="0088785D">
              <w:rPr>
                <w:b/>
                <w:sz w:val="28"/>
                <w:szCs w:val="28"/>
                <w:u w:val="single"/>
              </w:rPr>
              <w:t>сертификации::</w:t>
            </w:r>
            <w:proofErr w:type="gramEnd"/>
          </w:p>
          <w:p w:rsidR="005F5803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2"/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bookmarkEnd w:id="3"/>
            <w:r w:rsidRPr="008878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Повторная сертификация       </w:t>
            </w:r>
            <w:r w:rsidRPr="0088785D">
              <w:rPr>
                <w:b/>
                <w:sz w:val="28"/>
                <w:szCs w:val="28"/>
              </w:rPr>
              <w:t xml:space="preserve">Дата аудита: </w:t>
            </w:r>
            <w:r>
              <w:rPr>
                <w:b/>
                <w:sz w:val="28"/>
                <w:szCs w:val="28"/>
              </w:rPr>
              <w:t xml:space="preserve">_________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нет несоответствий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есть несоответствия 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не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следующее несоответствие должно быть проверено в ходе аудита: требование </w:t>
            </w:r>
            <w:proofErr w:type="gramStart"/>
            <w:r w:rsidRPr="0088785D">
              <w:rPr>
                <w:sz w:val="28"/>
                <w:szCs w:val="28"/>
              </w:rPr>
              <w:t xml:space="preserve">стандарта  </w:t>
            </w:r>
            <w:r>
              <w:rPr>
                <w:sz w:val="28"/>
                <w:szCs w:val="28"/>
                <w:u w:val="single"/>
              </w:rPr>
              <w:t>_</w:t>
            </w:r>
            <w:proofErr w:type="gramEnd"/>
            <w:r>
              <w:rPr>
                <w:sz w:val="28"/>
                <w:szCs w:val="28"/>
                <w:u w:val="single"/>
              </w:rPr>
              <w:t>_________________________________________________</w:t>
            </w:r>
          </w:p>
          <w:p w:rsidR="005F5803" w:rsidRPr="00A07E4A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A07E4A">
              <w:rPr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4A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07E4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A07E4A">
              <w:rPr>
                <w:sz w:val="28"/>
                <w:szCs w:val="28"/>
              </w:rPr>
              <w:t>пре-переходное посещение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ПО</w:t>
            </w:r>
            <w:r w:rsidR="00C23A20">
              <w:rPr>
                <w:b/>
                <w:sz w:val="28"/>
                <w:szCs w:val="28"/>
              </w:rPr>
              <w:t xml:space="preserve">                                             Д</w:t>
            </w:r>
            <w:r w:rsidRPr="0088785D">
              <w:rPr>
                <w:b/>
                <w:sz w:val="28"/>
                <w:szCs w:val="28"/>
              </w:rPr>
              <w:t xml:space="preserve">ата аудита: </w:t>
            </w:r>
            <w:r w:rsidRPr="00C23A20">
              <w:rPr>
                <w:bCs/>
                <w:sz w:val="28"/>
                <w:szCs w:val="28"/>
              </w:rPr>
              <w:t>____________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нет несоответствий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есть несоответствия 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не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следующее несоответствие должно быть проверено в ходе аудита: требование </w:t>
            </w:r>
            <w:proofErr w:type="gramStart"/>
            <w:r w:rsidRPr="0088785D">
              <w:rPr>
                <w:sz w:val="28"/>
                <w:szCs w:val="28"/>
              </w:rPr>
              <w:t xml:space="preserve">стандарта  </w:t>
            </w:r>
            <w:r>
              <w:rPr>
                <w:sz w:val="28"/>
                <w:szCs w:val="28"/>
                <w:u w:val="single"/>
              </w:rPr>
              <w:t>_</w:t>
            </w:r>
            <w:proofErr w:type="gramEnd"/>
            <w:r>
              <w:rPr>
                <w:sz w:val="28"/>
                <w:szCs w:val="28"/>
                <w:u w:val="single"/>
              </w:rPr>
              <w:t>_________________________________________________</w:t>
            </w:r>
            <w:r w:rsidR="00D652F0">
              <w:rPr>
                <w:sz w:val="28"/>
                <w:szCs w:val="28"/>
                <w:u w:val="single"/>
              </w:rPr>
              <w:t>_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07E4A">
              <w:rPr>
                <w:sz w:val="28"/>
                <w:szCs w:val="28"/>
              </w:rPr>
              <w:t>пре-переходное посещение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</w:rPr>
              <w:t xml:space="preserve"> 2 </w:t>
            </w:r>
            <w:r>
              <w:rPr>
                <w:b/>
                <w:sz w:val="28"/>
                <w:szCs w:val="28"/>
              </w:rPr>
              <w:t>ПО</w:t>
            </w:r>
            <w:r w:rsidRPr="0088785D">
              <w:rPr>
                <w:b/>
                <w:sz w:val="28"/>
                <w:szCs w:val="28"/>
              </w:rPr>
              <w:t xml:space="preserve"> </w:t>
            </w:r>
            <w:r w:rsidR="00C23A20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C23A20">
              <w:rPr>
                <w:b/>
                <w:sz w:val="28"/>
                <w:szCs w:val="28"/>
              </w:rPr>
              <w:t>Д</w:t>
            </w:r>
            <w:r w:rsidR="00C23A20" w:rsidRPr="0088785D">
              <w:rPr>
                <w:b/>
                <w:sz w:val="28"/>
                <w:szCs w:val="28"/>
              </w:rPr>
              <w:t xml:space="preserve">ата аудита: </w:t>
            </w:r>
            <w:r w:rsidR="00C23A20" w:rsidRPr="00C23A20">
              <w:rPr>
                <w:bCs/>
                <w:sz w:val="28"/>
                <w:szCs w:val="28"/>
              </w:rPr>
              <w:t>____________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нет несоответствий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есть несоответствия 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8785D">
              <w:rPr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несоответствия не устранены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lastRenderedPageBreak/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sz w:val="28"/>
                <w:szCs w:val="28"/>
              </w:rPr>
              <w:t xml:space="preserve"> следующее несоответствие должно быть проверено в ходе аудита: требование </w:t>
            </w:r>
            <w:proofErr w:type="gramStart"/>
            <w:r w:rsidRPr="0088785D">
              <w:rPr>
                <w:sz w:val="28"/>
                <w:szCs w:val="28"/>
              </w:rPr>
              <w:t xml:space="preserve">стандарта  </w:t>
            </w:r>
            <w:r>
              <w:rPr>
                <w:sz w:val="28"/>
                <w:szCs w:val="28"/>
                <w:u w:val="single"/>
              </w:rPr>
              <w:t>_</w:t>
            </w:r>
            <w:proofErr w:type="gramEnd"/>
            <w:r>
              <w:rPr>
                <w:sz w:val="28"/>
                <w:szCs w:val="28"/>
                <w:u w:val="single"/>
              </w:rPr>
              <w:t>__________________________________________________</w:t>
            </w:r>
          </w:p>
          <w:p w:rsidR="00D652F0" w:rsidRPr="0088785D" w:rsidRDefault="005F5803" w:rsidP="00D652F0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color w:val="FF0000"/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color w:val="FF0000"/>
                <w:sz w:val="28"/>
                <w:szCs w:val="28"/>
              </w:rPr>
              <w:fldChar w:fldCharType="end"/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07E4A">
              <w:rPr>
                <w:sz w:val="28"/>
                <w:szCs w:val="28"/>
              </w:rPr>
              <w:t>пре-переходное посещение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 xml:space="preserve">Примечания: </w:t>
            </w:r>
          </w:p>
          <w:tbl>
            <w:tblPr>
              <w:tblW w:w="951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386"/>
              <w:gridCol w:w="426"/>
              <w:gridCol w:w="4536"/>
              <w:gridCol w:w="20"/>
            </w:tblGrid>
            <w:tr w:rsidR="005F5803" w:rsidRPr="0088785D" w:rsidTr="009A2FBC">
              <w:trPr>
                <w:cantSplit/>
                <w:trHeight w:hRule="exact" w:val="351"/>
              </w:trPr>
              <w:tc>
                <w:tcPr>
                  <w:tcW w:w="142" w:type="dxa"/>
                  <w:vAlign w:val="bottom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6" w:type="dxa"/>
                  <w:tcBorders>
                    <w:bottom w:val="single" w:sz="6" w:space="0" w:color="auto"/>
                  </w:tcBorders>
                  <w:vAlign w:val="bottom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88785D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88785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bottom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6" w:space="0" w:color="auto"/>
                  </w:tcBorders>
                  <w:vAlign w:val="bottom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F5803" w:rsidRPr="0088785D" w:rsidTr="009A2FBC">
              <w:trPr>
                <w:cantSplit/>
                <w:trHeight w:val="108"/>
              </w:trPr>
              <w:tc>
                <w:tcPr>
                  <w:tcW w:w="142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6" w:type="dxa"/>
                </w:tcPr>
                <w:p w:rsidR="005F5803" w:rsidRPr="0088785D" w:rsidRDefault="005F5803" w:rsidP="009A2FBC">
                  <w:pPr>
                    <w:tabs>
                      <w:tab w:val="left" w:pos="361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Pr="0088785D">
                    <w:rPr>
                      <w:b/>
                      <w:sz w:val="28"/>
                      <w:szCs w:val="28"/>
                    </w:rPr>
                    <w:t>ата составления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26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5F5803" w:rsidRPr="0088785D" w:rsidRDefault="005F5803" w:rsidP="009A2FBC">
                  <w:pPr>
                    <w:ind w:firstLine="3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Сотрудник </w:t>
                  </w:r>
                  <w:r w:rsidRPr="0088785D">
                    <w:rPr>
                      <w:b/>
                      <w:sz w:val="28"/>
                      <w:szCs w:val="28"/>
                    </w:rPr>
                    <w:t>органа по сертификации</w:t>
                  </w:r>
                </w:p>
              </w:tc>
              <w:tc>
                <w:tcPr>
                  <w:tcW w:w="20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F5803" w:rsidRPr="0088785D" w:rsidTr="009A2FBC">
              <w:trPr>
                <w:cantSplit/>
                <w:trHeight w:val="108"/>
              </w:trPr>
              <w:tc>
                <w:tcPr>
                  <w:tcW w:w="142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6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</w:tcPr>
                <w:p w:rsidR="005F5803" w:rsidRPr="0088785D" w:rsidRDefault="005F5803" w:rsidP="009A2FBC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5F5803" w:rsidRPr="0088785D" w:rsidTr="00D652F0">
        <w:trPr>
          <w:gridAfter w:val="1"/>
          <w:wAfter w:w="416" w:type="dxa"/>
        </w:trPr>
        <w:tc>
          <w:tcPr>
            <w:tcW w:w="100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88785D">
              <w:rPr>
                <w:b/>
                <w:sz w:val="28"/>
                <w:szCs w:val="28"/>
                <w:u w:val="single"/>
              </w:rPr>
              <w:t>Оценка данных и сдача документов для запланированного перехода органом по сертификации: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F5803" w:rsidRPr="0088785D" w:rsidRDefault="005F5803" w:rsidP="009A2FBC">
            <w:pPr>
              <w:numPr>
                <w:ilvl w:val="0"/>
                <w:numId w:val="1"/>
              </w:numPr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t>Имеются все необходимые данные и документы от организации-заявителя.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 xml:space="preserve">         </w:t>
            </w: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F4A">
              <w:rPr>
                <w:b/>
                <w:sz w:val="28"/>
                <w:szCs w:val="28"/>
              </w:rPr>
              <w:instrText xml:space="preserve"> </w:instrText>
            </w:r>
            <w:r w:rsidRPr="0088785D">
              <w:rPr>
                <w:b/>
                <w:sz w:val="28"/>
                <w:szCs w:val="28"/>
                <w:lang w:val="en-US"/>
              </w:rPr>
              <w:instrText>FORMCHECKBOX</w:instrText>
            </w:r>
            <w:r w:rsidRPr="004B2F4A"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4B2F4A">
              <w:rPr>
                <w:b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Да</w:t>
            </w:r>
            <w:r w:rsidRPr="004B2F4A">
              <w:rPr>
                <w:b/>
                <w:sz w:val="28"/>
                <w:szCs w:val="28"/>
              </w:rPr>
              <w:t xml:space="preserve">. </w:t>
            </w:r>
            <w:r w:rsidRPr="0088785D">
              <w:rPr>
                <w:b/>
                <w:sz w:val="28"/>
                <w:szCs w:val="28"/>
              </w:rPr>
              <w:t xml:space="preserve">Планируемый переход может быть подтвержден с подтверждением </w:t>
            </w:r>
            <w:r>
              <w:rPr>
                <w:b/>
                <w:sz w:val="28"/>
                <w:szCs w:val="28"/>
              </w:rPr>
              <w:t>заявки</w:t>
            </w:r>
            <w:r w:rsidRPr="0088785D">
              <w:rPr>
                <w:b/>
                <w:sz w:val="28"/>
                <w:szCs w:val="28"/>
              </w:rPr>
              <w:t xml:space="preserve">. 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 xml:space="preserve">         </w:t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5D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88785D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88785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785D">
              <w:rPr>
                <w:b/>
                <w:sz w:val="28"/>
                <w:szCs w:val="28"/>
              </w:rPr>
              <w:t>Нет</w:t>
            </w:r>
            <w:r w:rsidRPr="004B2F4A">
              <w:rPr>
                <w:b/>
                <w:sz w:val="28"/>
                <w:szCs w:val="28"/>
              </w:rPr>
              <w:t xml:space="preserve">. </w:t>
            </w:r>
            <w:r w:rsidRPr="0088785D">
              <w:rPr>
                <w:b/>
                <w:sz w:val="28"/>
                <w:szCs w:val="28"/>
              </w:rPr>
              <w:t>Переход не будет подтвержден. Клиент будет проинформирован об отказе с пояснительным заявлением.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F5803" w:rsidRPr="0088785D" w:rsidRDefault="005F5803" w:rsidP="009A2FBC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t>В соответствии со следующей датой аудита или сроком действия настоящего сертификата следующая проверка должна проводиться до</w:t>
            </w:r>
            <w:r w:rsidRPr="004B2F4A">
              <w:rPr>
                <w:b/>
                <w:sz w:val="28"/>
                <w:szCs w:val="28"/>
              </w:rPr>
              <w:t>_________________</w:t>
            </w:r>
            <w:r w:rsidRPr="0088785D">
              <w:rPr>
                <w:sz w:val="28"/>
                <w:szCs w:val="28"/>
              </w:rPr>
              <w:t xml:space="preserve"> (Дата).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F5803" w:rsidRPr="0088785D" w:rsidRDefault="005F5803" w:rsidP="009A2FBC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t xml:space="preserve">Должен быть проведён следующий аудит: </w:t>
            </w:r>
          </w:p>
          <w:p w:rsidR="005F5803" w:rsidRPr="0088785D" w:rsidRDefault="005F5803" w:rsidP="009A2FBC">
            <w:pPr>
              <w:pStyle w:val="a5"/>
              <w:ind w:left="0" w:firstLine="284"/>
              <w:jc w:val="both"/>
              <w:rPr>
                <w:b/>
                <w:sz w:val="28"/>
                <w:szCs w:val="28"/>
              </w:rPr>
            </w:pPr>
          </w:p>
          <w:p w:rsidR="005F5803" w:rsidRPr="004B2F4A" w:rsidRDefault="005F5803" w:rsidP="009A2FBC">
            <w:pPr>
              <w:ind w:firstLine="284"/>
              <w:jc w:val="both"/>
              <w:rPr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1. </w:t>
            </w:r>
            <w:r>
              <w:rPr>
                <w:b/>
                <w:sz w:val="28"/>
                <w:szCs w:val="28"/>
              </w:rPr>
              <w:t>ПО</w:t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2. </w:t>
            </w:r>
            <w:r>
              <w:rPr>
                <w:b/>
                <w:sz w:val="28"/>
                <w:szCs w:val="28"/>
              </w:rPr>
              <w:t>ПО</w:t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88785D">
              <w:rPr>
                <w:b/>
                <w:sz w:val="28"/>
                <w:szCs w:val="2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85D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88785D">
              <w:rPr>
                <w:b/>
                <w:sz w:val="28"/>
                <w:szCs w:val="28"/>
              </w:rPr>
              <w:fldChar w:fldCharType="end"/>
            </w:r>
            <w:r w:rsidRPr="0088785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Повторная сертификация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5F5803" w:rsidRPr="004B2F4A" w:rsidRDefault="005F5803" w:rsidP="009A2FBC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t>В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ходе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предстоящей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проверки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необходимо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подтвердить</w:t>
            </w:r>
            <w:r w:rsidRPr="004B2F4A">
              <w:rPr>
                <w:sz w:val="28"/>
                <w:szCs w:val="28"/>
              </w:rPr>
              <w:t xml:space="preserve"> </w:t>
            </w:r>
            <w:r w:rsidRPr="0088785D">
              <w:rPr>
                <w:sz w:val="28"/>
                <w:szCs w:val="28"/>
              </w:rPr>
              <w:t>следующее</w:t>
            </w:r>
            <w:r w:rsidRPr="004B2F4A">
              <w:rPr>
                <w:sz w:val="28"/>
                <w:szCs w:val="28"/>
              </w:rPr>
              <w:t>:</w:t>
            </w:r>
          </w:p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sz w:val="28"/>
                <w:szCs w:val="28"/>
              </w:rPr>
              <w:t xml:space="preserve">  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 xml:space="preserve">Примечание: </w:t>
            </w:r>
          </w:p>
          <w:p w:rsidR="005F5803" w:rsidRPr="0088785D" w:rsidRDefault="005F5803" w:rsidP="009A2FBC">
            <w:pPr>
              <w:pStyle w:val="2"/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5F5803" w:rsidRPr="0088785D" w:rsidTr="00D652F0">
        <w:trPr>
          <w:gridAfter w:val="1"/>
          <w:wAfter w:w="416" w:type="dxa"/>
        </w:trPr>
        <w:tc>
          <w:tcPr>
            <w:tcW w:w="100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5F5803" w:rsidRPr="0088785D" w:rsidTr="00D6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0" w:type="dxa"/>
          <w:cantSplit/>
          <w:trHeight w:hRule="exact" w:val="417"/>
        </w:trPr>
        <w:tc>
          <w:tcPr>
            <w:tcW w:w="142" w:type="dxa"/>
            <w:vAlign w:val="bottom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7" w:type="dxa"/>
            <w:tcBorders>
              <w:bottom w:val="single" w:sz="6" w:space="0" w:color="auto"/>
            </w:tcBorders>
            <w:vAlign w:val="bottom"/>
          </w:tcPr>
          <w:p w:rsidR="005F5803" w:rsidRPr="0088785D" w:rsidRDefault="005F5803" w:rsidP="00C23A20">
            <w:pPr>
              <w:ind w:hanging="125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fldChar w:fldCharType="begin"/>
            </w:r>
            <w:r w:rsidRPr="0088785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  <w:vAlign w:val="bottom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vAlign w:val="bottom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5F5803" w:rsidRPr="0088785D" w:rsidTr="00D6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0" w:type="dxa"/>
          <w:cantSplit/>
          <w:trHeight w:val="108"/>
        </w:trPr>
        <w:tc>
          <w:tcPr>
            <w:tcW w:w="142" w:type="dxa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7" w:type="dxa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8878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" w:type="dxa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5F5803" w:rsidRPr="0088785D" w:rsidRDefault="005F5803" w:rsidP="009A2F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  <w:r w:rsidRPr="0088785D">
              <w:rPr>
                <w:b/>
                <w:sz w:val="28"/>
                <w:szCs w:val="28"/>
              </w:rPr>
              <w:t xml:space="preserve"> сотрудника органа по сертификации</w:t>
            </w:r>
          </w:p>
        </w:tc>
        <w:tc>
          <w:tcPr>
            <w:tcW w:w="416" w:type="dxa"/>
          </w:tcPr>
          <w:p w:rsidR="005F5803" w:rsidRPr="0088785D" w:rsidRDefault="005F5803" w:rsidP="009A2FB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2B16" w:rsidRDefault="00B72B16"/>
    <w:sectPr w:rsidR="00B72B16" w:rsidSect="008F76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4005"/>
    <w:multiLevelType w:val="hybridMultilevel"/>
    <w:tmpl w:val="B8481A44"/>
    <w:lvl w:ilvl="0" w:tplc="18746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16"/>
    <w:rsid w:val="005F5803"/>
    <w:rsid w:val="008F7678"/>
    <w:rsid w:val="00B72B16"/>
    <w:rsid w:val="00C23A20"/>
    <w:rsid w:val="00D652F0"/>
    <w:rsid w:val="00D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E43FB"/>
  <w15:chartTrackingRefBased/>
  <w15:docId w15:val="{C9B6D23A-902B-4648-BECD-EBFF4B7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803"/>
    <w:pPr>
      <w:tabs>
        <w:tab w:val="left" w:pos="284"/>
        <w:tab w:val="left" w:pos="4395"/>
        <w:tab w:val="left" w:pos="4820"/>
      </w:tabs>
      <w:ind w:left="1304"/>
      <w:jc w:val="center"/>
    </w:pPr>
  </w:style>
  <w:style w:type="character" w:customStyle="1" w:styleId="a4">
    <w:name w:val="Основной текст с отступом Знак"/>
    <w:basedOn w:val="a0"/>
    <w:link w:val="a3"/>
    <w:rsid w:val="005F58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5F5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58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F5803"/>
    <w:pPr>
      <w:ind w:left="720"/>
      <w:contextualSpacing/>
    </w:pPr>
  </w:style>
  <w:style w:type="paragraph" w:styleId="a6">
    <w:name w:val="Title"/>
    <w:basedOn w:val="a"/>
    <w:link w:val="a7"/>
    <w:qFormat/>
    <w:rsid w:val="005F5803"/>
    <w:pPr>
      <w:spacing w:before="240"/>
      <w:jc w:val="center"/>
    </w:pPr>
    <w:rPr>
      <w:rFonts w:ascii="Arial" w:hAnsi="Arial"/>
      <w:b/>
      <w:snapToGrid w:val="0"/>
      <w:sz w:val="28"/>
      <w:lang w:val="de-DE" w:eastAsia="de-DE"/>
    </w:rPr>
  </w:style>
  <w:style w:type="character" w:customStyle="1" w:styleId="a7">
    <w:name w:val="Заголовок Знак"/>
    <w:basedOn w:val="a0"/>
    <w:link w:val="a6"/>
    <w:rsid w:val="005F5803"/>
    <w:rPr>
      <w:rFonts w:ascii="Arial" w:eastAsia="Times New Roman" w:hAnsi="Arial" w:cs="Times New Roman"/>
      <w:b/>
      <w:snapToGrid w:val="0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2020-03-16T13:44:00Z</dcterms:created>
  <dcterms:modified xsi:type="dcterms:W3CDTF">2020-03-16T13:49:00Z</dcterms:modified>
</cp:coreProperties>
</file>